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0"/>
        <w:gridCol w:w="4254"/>
      </w:tblGrid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ConsPlusNonformat"/>
              <w:widowControl w:val="false"/>
              <w:ind w:left="0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В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4"/>
                <w:u w:val="none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администрацию города</w:t>
              <w:br/>
              <w:t>Южно-Сахалинска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от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НКО «Наши острова»</w:t>
            </w:r>
          </w:p>
          <w:p>
            <w:pPr>
              <w:pStyle w:val="ConsPlusNonformat"/>
              <w:widowControl w:val="false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(наименование общественной организации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4"/>
                <w:u w:val="none"/>
              </w:rPr>
              <w:t xml:space="preserve">                                                  (объединения))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ConsPlusNonformat"/>
              <w:widowControl w:val="false"/>
              <w:ind w:left="0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ИНН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4"/>
                <w:u w:val="none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65987432551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юридический адрес и адрес</w:t>
            </w:r>
          </w:p>
          <w:p>
            <w:pPr>
              <w:pStyle w:val="ConsPlusNonformat"/>
              <w:widowControl w:val="false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(место нахождения)</w:t>
            </w:r>
          </w:p>
          <w:p>
            <w:pPr>
              <w:pStyle w:val="ConsPlusNonformat"/>
              <w:widowControl w:val="false"/>
              <w:ind w:left="0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693000, город Южно-Сахалинск,</w:t>
              <w:br/>
              <w:t>ул. Сиреневая, д. 267, оф. 4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ConsPlusNonformat"/>
              <w:widowControl w:val="false"/>
              <w:ind w:left="0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Телефон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4"/>
                <w:u w:val="none"/>
              </w:rPr>
              <w:t xml:space="preserve"> 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8 (4242) 23-85-98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  <w:t>в лице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Пирова Ивана Сергеевича</w:t>
            </w:r>
          </w:p>
          <w:p>
            <w:pPr>
              <w:pStyle w:val="ConsPlusNonformat"/>
              <w:widowControl w:val="false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u w:val="none"/>
              </w:rPr>
              <w:t>(фамилия, имя, отчество (при наличии)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4"/>
                <w:u w:val="none"/>
              </w:rPr>
              <w:t xml:space="preserve"> представителя заявителя)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Style20"/>
              <w:widowControl w:val="false"/>
              <w:snapToGrid w:val="false"/>
              <w:jc w:val="left"/>
              <w:rPr>
                <w:rFonts w:ascii="Times New Roman" w:hAnsi="Times New Roman" w:eastAsia="Arial" w:cs="Times New Roman"/>
                <w:sz w:val="16"/>
                <w:szCs w:val="24"/>
              </w:rPr>
            </w:pPr>
            <w:r>
              <w:rPr>
                <w:rFonts w:eastAsia="Arial" w:cs="Times New Roman" w:ascii="Times New Roman" w:hAnsi="Times New Roman"/>
                <w:sz w:val="16"/>
                <w:szCs w:val="24"/>
              </w:rPr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 w:eastAsia="Arial" w:cs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</w:pP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 xml:space="preserve">Паспорт: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8"/>
                <w:szCs w:val="28"/>
                <w:u w:val="single"/>
                <w:shd w:fill="DDDDDD" w:val="clear"/>
              </w:rPr>
              <w:t>6313 № 787475, выдан 16.02.2006 г. Отделом УФМС России по Сахалинской области в гор. Южно-Сахалинске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u w:val="none"/>
              </w:rPr>
              <w:t>_________________________________________</w:t>
            </w:r>
          </w:p>
          <w:p>
            <w:pPr>
              <w:pStyle w:val="ConsPlusNonformat"/>
              <w:widowControl w:val="false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u w:val="none"/>
              </w:rPr>
              <w:t>(вид документа, удостоверяющего личность, серия, номер, наименование органа, выдавшего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strike w:val="false"/>
                <w:dstrike w:val="false"/>
                <w:sz w:val="20"/>
                <w:szCs w:val="24"/>
                <w:u w:val="none"/>
              </w:rPr>
              <w:t xml:space="preserve"> документ, дата выдачи документа)</w:t>
            </w:r>
          </w:p>
        </w:tc>
      </w:tr>
    </w:tbl>
    <w:p>
      <w:pPr>
        <w:pStyle w:val="ConsPlusNormal"/>
        <w:ind w:left="0" w:right="0" w:hanging="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nformat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right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Заявление</w:t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i w:val="false"/>
          <w:strike w:val="false"/>
          <w:dstrike w:val="false"/>
          <w:sz w:val="28"/>
          <w:szCs w:val="28"/>
          <w:u w:val="none"/>
        </w:rPr>
        <w:t>о проведении общественной экологической экспертизы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Общественная организация (объединение):</w:t>
      </w:r>
    </w:p>
    <w:p>
      <w:pPr>
        <w:pStyle w:val="ConsPlusNonformat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НКО «Наши острова»</w:t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(наименование общественной организации)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заявляет о проведении общественной экологической экспертизы и просит зарегистрировать заявление о проведении общественной экологической экспертизы.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Характер деятельности, предусмотренный Уставом организации: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организация общественных экологических обсуждений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Сведения о составе экспертной комиссии общественной экологической экспертизы:</w:t>
      </w:r>
    </w:p>
    <w:p>
      <w:pPr>
        <w:pStyle w:val="ConsPlusNonformat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1.</w:t>
        <w:tab/>
        <w:t>Никифоров Денис Ильич — эколо</w:t>
      </w:r>
      <w:r>
        <w:rPr>
          <w:rFonts w:eastAsia="NSimSu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single"/>
          <w:shd w:fill="DDDDDD" w:val="clear"/>
          <w:lang w:val="ru-RU" w:eastAsia="zh-CN" w:bidi="hi-IN"/>
        </w:rPr>
        <w:t xml:space="preserve">г, </w:t>
      </w:r>
      <w:r>
        <w:rPr>
          <w:rFonts w:eastAsia="NSimSu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shd w:fill="DDDDDD" w:val="clear"/>
          <w:lang w:val="ru-RU" w:eastAsia="zh-CN" w:bidi="hi-IN"/>
        </w:rPr>
        <w:t>д-р геол.-минерал. наук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, доцент кафедры Экзогенных процессов Иркутского института Геоэкологии РАН;</w:t>
      </w:r>
    </w:p>
    <w:p>
      <w:pPr>
        <w:pStyle w:val="Style22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  <w:shd w:fill="DDDDDD" w:val="clea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shd w:fill="DDDDDD" w:val="clear"/>
        </w:rPr>
        <w:t>2.</w:t>
        <w:tab/>
        <w:t>Александрова Мария Георгиевна — гляциолог, канд. г.-м. наук кафедры Экзогенных процессов Кольского института лавинных и снежных процессов;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3.</w:t>
        <w:tab/>
        <w:t>.……………………………………………………………………………….</w:t>
      </w:r>
    </w:p>
    <w:p>
      <w:pPr>
        <w:pStyle w:val="ConsPlusNonformat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(фамилия, имя, отчество, специальность и/или должность экспертов)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Соответствие экспертов требованиям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пункта 4 статьи 22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Федерального закона от 23.11.1995 № 174-ФЗ «Об экологической экспертизе» подтверждается.</w:t>
      </w:r>
    </w:p>
    <w:p>
      <w:pPr>
        <w:pStyle w:val="ConsPlusNonformat"/>
        <w:ind w:left="0" w:right="0" w:hanging="0"/>
        <w:jc w:val="both"/>
        <w:rPr/>
      </w:pPr>
      <w:r>
        <w:rPr/>
      </w:r>
    </w:p>
    <w:p>
      <w:pPr>
        <w:pStyle w:val="ConsPlusNonformat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Сведения об объекте общественной экологической экспертизы: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DDDDDD" w:val="clear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Строительство мусороперерабатывающего завода в селе Березняки городского округа «Город Южно-Сахалинск»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shd w:fill="DDDDDD" w:val="clear"/>
        </w:rPr>
        <w:t xml:space="preserve"> 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Сроки проведения общественной экологической экспертизы:</w:t>
      </w:r>
    </w:p>
    <w:p>
      <w:pPr>
        <w:pStyle w:val="ConsPlusNonformat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с 01 ноября 20…. года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single"/>
          <w:shd w:fill="DDDDDD" w:val="clear"/>
        </w:rPr>
        <w:t>01 декабря 20…. года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Опись документов, прилагаемых к заявлению:</w:t>
      </w:r>
    </w:p>
    <w:tbl>
      <w:tblPr>
        <w:tblW w:w="9360" w:type="dxa"/>
        <w:jc w:val="left"/>
        <w:tblInd w:w="-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5"/>
        <w:gridCol w:w="5952"/>
        <w:gridCol w:w="2443"/>
      </w:tblGrid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(шт.)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shd w:fill="DDDDDD" w:val="clear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shd w:fill="DDDDDD" w:val="clear"/>
              </w:rPr>
              <w:t>Устав НКО «Наши острова»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shd w:fill="DDDDDD" w:val="clear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shd w:fill="DDDDDD" w:val="clear"/>
              </w:rPr>
              <w:t xml:space="preserve">1 экз. 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shd w:fill="DDDDDD" w:val="clear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shd w:fill="DDDDDD" w:val="clear"/>
              </w:rPr>
              <w:t>Доверенность на право предоставления интересов НКО «Наши острова»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shd w:fill="DDDDDD" w:val="clear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shd w:fill="DDDDDD" w:val="clear"/>
              </w:rPr>
              <w:t xml:space="preserve">1 экз. </w:t>
            </w:r>
          </w:p>
        </w:tc>
      </w:tr>
      <w:tr>
        <w:trPr/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shd w:fill="DDDDDD" w:val="clear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shd w:fill="DDDDDD" w:val="clear"/>
              </w:rPr>
              <w:t>Выписка из ЕГРЮЛ (при наличии)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  <w:shd w:fill="DDDDDD" w:val="clear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  <w:shd w:fill="DDDDDD" w:val="clear"/>
              </w:rPr>
              <w:t>1 экз.</w:t>
            </w:r>
          </w:p>
        </w:tc>
      </w:tr>
    </w:tbl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eastAsia="Arial" w:cs="Courier New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  <w:shd w:fill="auto" w:val="clear"/>
        </w:rPr>
        <w:t>Даю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>
      <w:pPr>
        <w:pStyle w:val="ConsPlusNonformat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nformat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«____» ____________ 20__ г.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  <w:t>________________   ________________________________________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(подпись)                        (расшифровка подписи)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1134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o:allowincell="f" style="position:absolute;margin-left:0.1pt;margin-top:285.2pt;width:467.5pt;height:143.7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образец" trim="t" style="font-family:&quot;Liberation Sans&quot;;font-size:1pt"/>
          <v:fill o:detectmouseclick="t" type="solid" color2="#3f3f3f" opacity="0.26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23">
    <w:name w:val="Колонтитул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LibreOffice/7.2.6.2$Windows_X86_64 LibreOffice_project/b0ec3a565991f7569a5a7f5d24fed7f52653d754</Application>
  <AppVersion>15.0000</AppVersion>
  <Pages>2</Pages>
  <Words>278</Words>
  <Characters>2133</Characters>
  <CharactersWithSpaces>2560</CharactersWithSpaces>
  <Paragraphs>47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2021-04-12T10:26:00Z</dcterms:created>
  <dc:creator/>
  <dc:description/>
  <dc:language>ru-RU</dc:language>
  <cp:lastModifiedBy/>
  <dcterms:modified xsi:type="dcterms:W3CDTF">2022-09-13T11:21:33Z</dcterms:modified>
  <cp:revision>22</cp:revision>
  <dc:subject/>
  <dc:title>Постановление Администрации города Южно-Сахалинска от 05.04.2021 N 966-па"Об утверждении административного регламента администрации города Южно-Сахалинска предоставления муниципальной услуги "Регистрация заявлений о проведении общественной экологической экспертизы"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